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hd w:fill="7560a7" w:val="clear"/>
        <w:spacing w:line="276" w:lineRule="auto"/>
        <w:rPr>
          <w:b w:val="1"/>
          <w:color w:val="ffffff"/>
        </w:rPr>
      </w:pPr>
      <w:bookmarkStart w:colFirst="0" w:colLast="0" w:name="_1fob9te" w:id="0"/>
      <w:bookmarkEnd w:id="0"/>
      <w:r w:rsidDel="00000000" w:rsidR="00000000" w:rsidRPr="00000000">
        <w:rPr>
          <w:color w:val="ffffff"/>
          <w:rtl w:val="0"/>
        </w:rPr>
        <w:t xml:space="preserve">Sample RISE Part 1 Agenda with time map: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RISE Part 1: Today’s Agenda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240" w:before="6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Introductions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240" w:before="6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Read the RISE Frame of Reference</w:t>
      </w:r>
      <w:hyperlink w:anchor="_1fob9te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 </w:t>
        </w:r>
      </w:hyperlink>
      <w:r w:rsidDel="00000000" w:rsidR="00000000" w:rsidRPr="00000000">
        <w:rPr>
          <w:sz w:val="28"/>
          <w:szCs w:val="28"/>
          <w:rtl w:val="0"/>
        </w:rPr>
        <w:t xml:space="preserve">and consider it in all conversations and ratings (3-5 minutes)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40" w:before="6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Read the TIES Outcomes of building inclusive education systems (2  minutes)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6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Reflect on each Focus Area: (20 minutes each)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before="6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Definition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before="6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Relationship to T-I-E-S Outcomes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before="6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Strength areas for the Focus Area in your system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before="6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Growth areas for the Focus Area in your system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240" w:before="6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Rate your system’s current levels of practice using the rubric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6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Rank the Focus Areas to identify 1-2 for RISE Part 2 Reflection (10 minutes)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240" w:before="6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Review the list of potential stakeholders and add any others you may want to include in future meetings. (3-5 minutes) </w:t>
      </w:r>
    </w:p>
    <w:p w:rsidR="00000000" w:rsidDel="00000000" w:rsidP="00000000" w:rsidRDefault="00000000" w:rsidRPr="00000000" w14:paraId="0000000E">
      <w:pPr>
        <w:widowControl w:val="0"/>
        <w:spacing w:before="60"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