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shd w:fill="7560a7" w:val="clear"/>
        <w:spacing w:line="276" w:lineRule="auto"/>
        <w:jc w:val="center"/>
        <w:rPr>
          <w:color w:val="ffffff"/>
          <w:sz w:val="40"/>
          <w:szCs w:val="40"/>
        </w:rPr>
      </w:pPr>
      <w:bookmarkStart w:colFirst="0" w:colLast="0" w:name="_2et92p0" w:id="0"/>
      <w:bookmarkEnd w:id="0"/>
      <w:r w:rsidDel="00000000" w:rsidR="00000000" w:rsidRPr="00000000">
        <w:rPr>
          <w:b w:val="1"/>
          <w:color w:val="ffffff"/>
          <w:rtl w:val="0"/>
        </w:rPr>
        <w:t xml:space="preserve">     </w:t>
      </w:r>
      <w:r w:rsidDel="00000000" w:rsidR="00000000" w:rsidRPr="00000000">
        <w:rPr>
          <w:b w:val="1"/>
          <w:color w:val="ffffff"/>
          <w:sz w:val="40"/>
          <w:szCs w:val="40"/>
          <w:rtl w:val="0"/>
        </w:rPr>
        <w:t xml:space="preserve"> RISE Part 1</w:t>
      </w:r>
      <w:r w:rsidDel="00000000" w:rsidR="00000000" w:rsidRPr="00000000">
        <w:rPr>
          <w:color w:val="ffffff"/>
          <w:sz w:val="40"/>
          <w:szCs w:val="40"/>
          <w:rtl w:val="0"/>
        </w:rPr>
        <w:t xml:space="preserve">: Focus Area Reflection Steps-at-a-Glance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numPr>
          <w:ilvl w:val="0"/>
          <w:numId w:val="1"/>
        </w:numPr>
        <w:spacing w:line="276" w:lineRule="auto"/>
        <w:ind w:left="-360" w:right="-360" w:hanging="360"/>
        <w:rPr>
          <w:sz w:val="32"/>
          <w:szCs w:val="32"/>
        </w:rPr>
      </w:pPr>
      <w:r w:rsidDel="00000000" w:rsidR="00000000" w:rsidRPr="00000000">
        <w:rPr>
          <w:sz w:val="32"/>
          <w:szCs w:val="32"/>
          <w:rtl w:val="0"/>
        </w:rPr>
        <w:t xml:space="preserve">Introductions- if the EILT includes people who do not usually work together you might want to take a bit longer for introductions and add a short icebreaker question/activity.</w:t>
      </w:r>
    </w:p>
    <w:p w:rsidR="00000000" w:rsidDel="00000000" w:rsidP="00000000" w:rsidRDefault="00000000" w:rsidRPr="00000000" w14:paraId="00000005">
      <w:pPr>
        <w:spacing w:line="276" w:lineRule="auto"/>
        <w:ind w:left="-360" w:right="-360" w:hanging="360"/>
        <w:rPr>
          <w:sz w:val="32"/>
          <w:szCs w:val="32"/>
        </w:rPr>
      </w:pPr>
      <w:r w:rsidDel="00000000" w:rsidR="00000000" w:rsidRPr="00000000">
        <w:rPr>
          <w:rtl w:val="0"/>
        </w:rPr>
      </w:r>
    </w:p>
    <w:p w:rsidR="00000000" w:rsidDel="00000000" w:rsidP="00000000" w:rsidRDefault="00000000" w:rsidRPr="00000000" w14:paraId="00000006">
      <w:pPr>
        <w:numPr>
          <w:ilvl w:val="0"/>
          <w:numId w:val="1"/>
        </w:numPr>
        <w:spacing w:line="276" w:lineRule="auto"/>
        <w:ind w:left="-360" w:right="-360" w:hanging="360"/>
        <w:rPr>
          <w:sz w:val="32"/>
          <w:szCs w:val="32"/>
        </w:rPr>
      </w:pPr>
      <w:r w:rsidDel="00000000" w:rsidR="00000000" w:rsidRPr="00000000">
        <w:rPr>
          <w:sz w:val="32"/>
          <w:szCs w:val="32"/>
          <w:rtl w:val="0"/>
        </w:rPr>
        <w:t xml:space="preserve">Review the RISE Frame of Reference- ask for volunteers to read aloud. Discuss any “aha” moments experienced by team members.</w:t>
      </w:r>
    </w:p>
    <w:p w:rsidR="00000000" w:rsidDel="00000000" w:rsidP="00000000" w:rsidRDefault="00000000" w:rsidRPr="00000000" w14:paraId="00000007">
      <w:pPr>
        <w:spacing w:line="276" w:lineRule="auto"/>
        <w:ind w:left="-90" w:right="-360" w:hanging="360"/>
        <w:rPr>
          <w:sz w:val="32"/>
          <w:szCs w:val="32"/>
        </w:rPr>
      </w:pPr>
      <w:r w:rsidDel="00000000" w:rsidR="00000000" w:rsidRPr="00000000">
        <w:rPr>
          <w:rtl w:val="0"/>
        </w:rPr>
      </w:r>
    </w:p>
    <w:p w:rsidR="00000000" w:rsidDel="00000000" w:rsidP="00000000" w:rsidRDefault="00000000" w:rsidRPr="00000000" w14:paraId="00000008">
      <w:pPr>
        <w:numPr>
          <w:ilvl w:val="0"/>
          <w:numId w:val="1"/>
        </w:numPr>
        <w:spacing w:line="276" w:lineRule="auto"/>
        <w:ind w:left="-360" w:right="-360" w:hanging="360"/>
        <w:rPr>
          <w:sz w:val="32"/>
          <w:szCs w:val="32"/>
        </w:rPr>
      </w:pPr>
      <w:r w:rsidDel="00000000" w:rsidR="00000000" w:rsidRPr="00000000">
        <w:rPr>
          <w:sz w:val="32"/>
          <w:szCs w:val="32"/>
          <w:rtl w:val="0"/>
        </w:rPr>
        <w:t xml:space="preserve">Review the TIES Outcomes to support building inclusive education systems.</w:t>
      </w:r>
    </w:p>
    <w:p w:rsidR="00000000" w:rsidDel="00000000" w:rsidP="00000000" w:rsidRDefault="00000000" w:rsidRPr="00000000" w14:paraId="00000009">
      <w:pPr>
        <w:spacing w:line="276" w:lineRule="auto"/>
        <w:ind w:left="-360" w:right="-360" w:hanging="360"/>
        <w:rPr>
          <w:sz w:val="32"/>
          <w:szCs w:val="32"/>
        </w:rPr>
      </w:pPr>
      <w:r w:rsidDel="00000000" w:rsidR="00000000" w:rsidRPr="00000000">
        <w:rPr>
          <w:rtl w:val="0"/>
        </w:rPr>
      </w:r>
    </w:p>
    <w:p w:rsidR="00000000" w:rsidDel="00000000" w:rsidP="00000000" w:rsidRDefault="00000000" w:rsidRPr="00000000" w14:paraId="0000000A">
      <w:pPr>
        <w:numPr>
          <w:ilvl w:val="0"/>
          <w:numId w:val="1"/>
        </w:numPr>
        <w:spacing w:line="276" w:lineRule="auto"/>
        <w:ind w:left="-360" w:right="-360" w:hanging="360"/>
        <w:rPr>
          <w:sz w:val="32"/>
          <w:szCs w:val="32"/>
        </w:rPr>
      </w:pPr>
      <w:r w:rsidDel="00000000" w:rsidR="00000000" w:rsidRPr="00000000">
        <w:rPr>
          <w:sz w:val="32"/>
          <w:szCs w:val="32"/>
          <w:rtl w:val="0"/>
        </w:rPr>
        <w:t xml:space="preserve">Start Focus Area 1 by reading the description aloud. Facilitate discussion of the Focus Area as it relates to the TIES outcomes by identifying examples of system strengths and need areas related to the Focus Area.</w:t>
      </w:r>
    </w:p>
    <w:p w:rsidR="00000000" w:rsidDel="00000000" w:rsidP="00000000" w:rsidRDefault="00000000" w:rsidRPr="00000000" w14:paraId="0000000B">
      <w:pPr>
        <w:spacing w:line="276" w:lineRule="auto"/>
        <w:ind w:left="-360" w:right="-360" w:hanging="360"/>
        <w:rPr>
          <w:sz w:val="32"/>
          <w:szCs w:val="32"/>
        </w:rPr>
      </w:pPr>
      <w:r w:rsidDel="00000000" w:rsidR="00000000" w:rsidRPr="00000000">
        <w:rPr>
          <w:rtl w:val="0"/>
        </w:rPr>
      </w:r>
    </w:p>
    <w:p w:rsidR="00000000" w:rsidDel="00000000" w:rsidP="00000000" w:rsidRDefault="00000000" w:rsidRPr="00000000" w14:paraId="0000000C">
      <w:pPr>
        <w:numPr>
          <w:ilvl w:val="0"/>
          <w:numId w:val="1"/>
        </w:numPr>
        <w:spacing w:line="276" w:lineRule="auto"/>
        <w:ind w:left="-360" w:right="-360" w:hanging="360"/>
        <w:rPr>
          <w:sz w:val="32"/>
          <w:szCs w:val="32"/>
          <w:u w:val="none"/>
        </w:rPr>
      </w:pPr>
      <w:r w:rsidDel="00000000" w:rsidR="00000000" w:rsidRPr="00000000">
        <w:rPr>
          <w:sz w:val="32"/>
          <w:szCs w:val="32"/>
          <w:rtl w:val="0"/>
        </w:rPr>
        <w:t xml:space="preserve">As discussion ends, rate the Focus Area (1-5) using the rating rubric.</w:t>
      </w:r>
    </w:p>
    <w:p w:rsidR="00000000" w:rsidDel="00000000" w:rsidP="00000000" w:rsidRDefault="00000000" w:rsidRPr="00000000" w14:paraId="0000000D">
      <w:pPr>
        <w:spacing w:line="276" w:lineRule="auto"/>
        <w:ind w:left="-360" w:right="-360" w:hanging="360"/>
        <w:rPr>
          <w:sz w:val="32"/>
          <w:szCs w:val="32"/>
        </w:rPr>
      </w:pPr>
      <w:r w:rsidDel="00000000" w:rsidR="00000000" w:rsidRPr="00000000">
        <w:rPr>
          <w:rtl w:val="0"/>
        </w:rPr>
      </w:r>
    </w:p>
    <w:p w:rsidR="00000000" w:rsidDel="00000000" w:rsidP="00000000" w:rsidRDefault="00000000" w:rsidRPr="00000000" w14:paraId="0000000E">
      <w:pPr>
        <w:numPr>
          <w:ilvl w:val="0"/>
          <w:numId w:val="1"/>
        </w:numPr>
        <w:spacing w:line="276" w:lineRule="auto"/>
        <w:ind w:left="-360" w:right="-360" w:hanging="360"/>
        <w:rPr>
          <w:sz w:val="32"/>
          <w:szCs w:val="32"/>
        </w:rPr>
      </w:pPr>
      <w:r w:rsidDel="00000000" w:rsidR="00000000" w:rsidRPr="00000000">
        <w:rPr>
          <w:sz w:val="32"/>
          <w:szCs w:val="32"/>
          <w:rtl w:val="0"/>
        </w:rPr>
        <w:t xml:space="preserve">Continue until all Focus Areas have been rated.</w:t>
      </w:r>
    </w:p>
    <w:p w:rsidR="00000000" w:rsidDel="00000000" w:rsidP="00000000" w:rsidRDefault="00000000" w:rsidRPr="00000000" w14:paraId="0000000F">
      <w:pPr>
        <w:spacing w:line="276" w:lineRule="auto"/>
        <w:ind w:left="-360" w:right="-360" w:hanging="360"/>
        <w:rPr>
          <w:sz w:val="32"/>
          <w:szCs w:val="32"/>
        </w:rPr>
      </w:pPr>
      <w:r w:rsidDel="00000000" w:rsidR="00000000" w:rsidRPr="00000000">
        <w:rPr>
          <w:rtl w:val="0"/>
        </w:rPr>
      </w:r>
    </w:p>
    <w:p w:rsidR="00000000" w:rsidDel="00000000" w:rsidP="00000000" w:rsidRDefault="00000000" w:rsidRPr="00000000" w14:paraId="00000010">
      <w:pPr>
        <w:numPr>
          <w:ilvl w:val="0"/>
          <w:numId w:val="1"/>
        </w:numPr>
        <w:spacing w:line="276" w:lineRule="auto"/>
        <w:ind w:left="-360" w:right="-360" w:hanging="360"/>
        <w:rPr>
          <w:sz w:val="32"/>
          <w:szCs w:val="32"/>
        </w:rPr>
      </w:pPr>
      <w:r w:rsidDel="00000000" w:rsidR="00000000" w:rsidRPr="00000000">
        <w:rPr>
          <w:sz w:val="32"/>
          <w:szCs w:val="32"/>
          <w:rtl w:val="0"/>
        </w:rPr>
        <w:t xml:space="preserve">Rank the Focus Areas and choose one for further reflection.</w:t>
      </w:r>
    </w:p>
    <w:p w:rsidR="00000000" w:rsidDel="00000000" w:rsidP="00000000" w:rsidRDefault="00000000" w:rsidRPr="00000000" w14:paraId="00000011">
      <w:pPr>
        <w:spacing w:line="276" w:lineRule="auto"/>
        <w:ind w:left="-360" w:right="-360" w:hanging="360"/>
        <w:rPr>
          <w:sz w:val="32"/>
          <w:szCs w:val="32"/>
        </w:rPr>
      </w:pPr>
      <w:r w:rsidDel="00000000" w:rsidR="00000000" w:rsidRPr="00000000">
        <w:rPr>
          <w:rtl w:val="0"/>
        </w:rPr>
      </w:r>
    </w:p>
    <w:p w:rsidR="00000000" w:rsidDel="00000000" w:rsidP="00000000" w:rsidRDefault="00000000" w:rsidRPr="00000000" w14:paraId="00000012">
      <w:pPr>
        <w:numPr>
          <w:ilvl w:val="0"/>
          <w:numId w:val="1"/>
        </w:numPr>
        <w:spacing w:line="276" w:lineRule="auto"/>
        <w:ind w:left="-360" w:right="-360" w:hanging="360"/>
        <w:rPr>
          <w:sz w:val="32"/>
          <w:szCs w:val="32"/>
        </w:rPr>
      </w:pPr>
      <w:r w:rsidDel="00000000" w:rsidR="00000000" w:rsidRPr="00000000">
        <w:rPr>
          <w:sz w:val="32"/>
          <w:szCs w:val="32"/>
          <w:rtl w:val="0"/>
        </w:rPr>
        <w:t xml:space="preserve">Review the potential stakeholders list and determine if there are new stakeholders you want to include on the EILT.</w:t>
      </w:r>
    </w:p>
    <w:p w:rsidR="00000000" w:rsidDel="00000000" w:rsidP="00000000" w:rsidRDefault="00000000" w:rsidRPr="00000000" w14:paraId="00000013">
      <w:pPr>
        <w:spacing w:line="276" w:lineRule="auto"/>
        <w:ind w:left="-360" w:right="-360" w:hanging="360"/>
        <w:rPr>
          <w:sz w:val="32"/>
          <w:szCs w:val="32"/>
        </w:rPr>
      </w:pPr>
      <w:r w:rsidDel="00000000" w:rsidR="00000000" w:rsidRPr="00000000">
        <w:rPr>
          <w:rtl w:val="0"/>
        </w:rPr>
      </w:r>
    </w:p>
    <w:p w:rsidR="00000000" w:rsidDel="00000000" w:rsidP="00000000" w:rsidRDefault="00000000" w:rsidRPr="00000000" w14:paraId="00000014">
      <w:pPr>
        <w:numPr>
          <w:ilvl w:val="0"/>
          <w:numId w:val="1"/>
        </w:numPr>
        <w:spacing w:line="276" w:lineRule="auto"/>
        <w:ind w:left="-360" w:right="-360" w:hanging="360"/>
        <w:rPr>
          <w:sz w:val="32"/>
          <w:szCs w:val="32"/>
          <w:u w:val="none"/>
        </w:rPr>
      </w:pPr>
      <w:r w:rsidDel="00000000" w:rsidR="00000000" w:rsidRPr="00000000">
        <w:rPr>
          <w:sz w:val="32"/>
          <w:szCs w:val="32"/>
          <w:rtl w:val="0"/>
        </w:rPr>
        <w:t xml:space="preserve">Schedule a time for the RISE Part 2.</w:t>
      </w:r>
    </w:p>
    <w:p w:rsidR="00000000" w:rsidDel="00000000" w:rsidP="00000000" w:rsidRDefault="00000000" w:rsidRPr="00000000" w14:paraId="00000015">
      <w:pPr>
        <w:spacing w:line="276" w:lineRule="auto"/>
        <w:ind w:left="720" w:right="-360" w:firstLine="0"/>
        <w:rPr>
          <w:sz w:val="32"/>
          <w:szCs w:val="32"/>
        </w:rPr>
      </w:pPr>
      <w:r w:rsidDel="00000000" w:rsidR="00000000" w:rsidRPr="00000000">
        <w:rPr>
          <w:rtl w:val="0"/>
        </w:rPr>
      </w:r>
    </w:p>
    <w:p w:rsidR="00000000" w:rsidDel="00000000" w:rsidP="00000000" w:rsidRDefault="00000000" w:rsidRPr="00000000" w14:paraId="00000016">
      <w:pPr>
        <w:numPr>
          <w:ilvl w:val="0"/>
          <w:numId w:val="1"/>
        </w:numPr>
        <w:spacing w:line="276" w:lineRule="auto"/>
        <w:ind w:left="-360" w:right="-360" w:hanging="360"/>
        <w:rPr>
          <w:sz w:val="32"/>
          <w:szCs w:val="32"/>
          <w:u w:val="none"/>
        </w:rPr>
      </w:pPr>
      <w:r w:rsidDel="00000000" w:rsidR="00000000" w:rsidRPr="00000000">
        <w:rPr>
          <w:sz w:val="32"/>
          <w:szCs w:val="32"/>
          <w:rtl w:val="0"/>
        </w:rPr>
        <w:t xml:space="preserve">Close the meeting.</w:t>
      </w:r>
    </w:p>
    <w:p w:rsidR="00000000" w:rsidDel="00000000" w:rsidP="00000000" w:rsidRDefault="00000000" w:rsidRPr="00000000" w14:paraId="00000017">
      <w:pPr>
        <w:spacing w:line="276" w:lineRule="auto"/>
        <w:ind w:left="0" w:right="-360" w:firstLine="0"/>
        <w:rPr>
          <w:sz w:val="32"/>
          <w:szCs w:val="32"/>
        </w:rPr>
      </w:pPr>
      <w:r w:rsidDel="00000000" w:rsidR="00000000" w:rsidRPr="00000000">
        <w:rPr>
          <w:rtl w:val="0"/>
        </w:rPr>
      </w:r>
    </w:p>
    <w:p w:rsidR="00000000" w:rsidDel="00000000" w:rsidP="00000000" w:rsidRDefault="00000000" w:rsidRPr="00000000" w14:paraId="00000018">
      <w:pPr>
        <w:spacing w:line="276" w:lineRule="auto"/>
        <w:ind w:left="0" w:firstLine="0"/>
        <w:rPr>
          <w:sz w:val="32"/>
          <w:szCs w:val="32"/>
        </w:rPr>
      </w:pPr>
      <w:r w:rsidDel="00000000" w:rsidR="00000000" w:rsidRPr="00000000">
        <w:rPr>
          <w:rtl w:val="0"/>
        </w:rPr>
      </w:r>
    </w:p>
    <w:sectPr>
      <w:pgSz w:h="15840" w:w="12240" w:orient="portrait"/>
      <w:pgMar w:bottom="45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